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709"/>
        <w:jc w:val="right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>
      <w:pPr>
        <w:pStyle w:val="Normal"/>
        <w:spacing w:lineRule="auto" w:line="240" w:before="0" w:after="0"/>
        <w:ind w:firstLine="709"/>
        <w:jc w:val="right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государственной программе </w:t>
      </w:r>
    </w:p>
    <w:p>
      <w:pPr>
        <w:pStyle w:val="Normal"/>
        <w:spacing w:lineRule="auto" w:line="240" w:before="0" w:after="0"/>
        <w:ind w:firstLine="709"/>
        <w:jc w:val="right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промышленности, </w:t>
      </w:r>
    </w:p>
    <w:p>
      <w:pPr>
        <w:pStyle w:val="Normal"/>
        <w:spacing w:lineRule="atLeast" w:line="315"/>
        <w:ind w:firstLine="709"/>
        <w:jc w:val="right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транспорта и связи Брянской области» 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Методика расчета значений показателей (индикаторов) государственной программы «Развитие промышленности, транспорта и связи Брянской области»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Показатели (индикаторы) государственной программы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bookmarkStart w:id="0" w:name="_Hlk91516690"/>
      <w:r>
        <w:rPr>
          <w:rFonts w:ascii="Times New Roman" w:hAnsi="Times New Roman"/>
          <w:sz w:val="28"/>
          <w:szCs w:val="28"/>
        </w:rPr>
        <w:t>Значение индикатора</w:t>
      </w:r>
      <w:bookmarkEnd w:id="0"/>
      <w:r>
        <w:rPr>
          <w:rFonts w:ascii="Times New Roman" w:hAnsi="Times New Roman"/>
          <w:sz w:val="28"/>
          <w:szCs w:val="28"/>
        </w:rPr>
        <w:t xml:space="preserve"> «Индекс промышленного производства по обрабатывающим производствам за исследуемый период» определяются </w:t>
      </w:r>
      <w:r>
        <w:rPr>
          <w:rFonts w:ascii="Times New Roman" w:hAnsi="Times New Roman"/>
          <w:spacing w:val="2"/>
          <w:sz w:val="28"/>
          <w:szCs w:val="28"/>
        </w:rPr>
        <w:t>на основе данных государственного статистического наблюдения территориального органа Федеральной службы государственной статистики по Брянской области.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Значение индикатора «Количество выполненных самолето-вылетов» определяются на основании отчетности авиапредприятий, осуществляющих пассажирские авиационные перевозки.</w:t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>Значение индикатора</w:t>
      </w:r>
      <w:r>
        <w:rPr>
          <w:rFonts w:ascii="Times New Roman" w:hAnsi="Times New Roman"/>
          <w:spacing w:val="2"/>
          <w:sz w:val="28"/>
          <w:szCs w:val="28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</w:rPr>
        <w:t>Объем отгруженных товаров собственного производства, выполненных работ и услуг собственными силами по обрабатывающим производствам (накопленным итогом)</w:t>
      </w:r>
      <w:r>
        <w:rPr>
          <w:rFonts w:ascii="Times New Roman" w:hAnsi="Times New Roman"/>
          <w:spacing w:val="2"/>
          <w:sz w:val="28"/>
          <w:szCs w:val="28"/>
        </w:rPr>
        <w:t>» определяется на основе данных государственного статистического наблюдения территориального органа Федеральной службы государственной статистики по Брянской области с нарастающим итогом.</w:t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Значение индикатора «</w:t>
      </w:r>
      <w:r>
        <w:rPr>
          <w:rFonts w:ascii="Times New Roman" w:hAnsi="Times New Roman"/>
          <w:color w:val="000000"/>
          <w:sz w:val="28"/>
          <w:szCs w:val="28"/>
        </w:rPr>
        <w:t>В том числе: объем отгруженных товаров собственного производства, выполненных работ и услуг собственными силами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(постановление Правительства РФ от 15.04.2014 г. №328 в ред. постановления Правительства РФ от 02.06.2022г. №1012)» определяется на основании данных предприятий, реализующих инвестиционные проекты.</w:t>
      </w:r>
    </w:p>
    <w:p>
      <w:pPr>
        <w:pStyle w:val="Normal"/>
        <w:spacing w:lineRule="atLeast" w:line="315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Показатели (индикаторы) основных мероприятий (проектов)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2. </w:t>
      </w:r>
      <w:r>
        <w:rPr>
          <w:rFonts w:ascii="Times New Roman" w:hAnsi="Times New Roman"/>
          <w:color w:val="000000"/>
          <w:sz w:val="28"/>
          <w:szCs w:val="28"/>
        </w:rPr>
        <w:t>Региональный проект «Промышленный экспорт (Брянская область)»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2.1. </w:t>
      </w:r>
      <w:r>
        <w:rPr>
          <w:rFonts w:ascii="Times New Roman" w:hAnsi="Times New Roman"/>
          <w:sz w:val="28"/>
          <w:szCs w:val="28"/>
        </w:rPr>
        <w:t>Значение индикатора</w:t>
      </w:r>
      <w:r>
        <w:rPr>
          <w:rFonts w:ascii="Times New Roman" w:hAnsi="Times New Roman"/>
          <w:spacing w:val="2"/>
          <w:sz w:val="28"/>
          <w:szCs w:val="28"/>
        </w:rPr>
        <w:t xml:space="preserve"> «Объем экспорта конкурентоспособной промышленной продукции Брянской области» определяется на основе данных государственного статистического наблюдения территориального органа Федеральной службы государственной статистики по Брянской области и Брянской таможни.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3. </w:t>
      </w:r>
      <w:r>
        <w:rPr>
          <w:rFonts w:ascii="Times New Roman" w:hAnsi="Times New Roman"/>
          <w:color w:val="000000"/>
          <w:sz w:val="28"/>
          <w:szCs w:val="28"/>
        </w:rPr>
        <w:t>Развитие системы управления в сфере промышленности, транспорта и связи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>Значение индикатора</w:t>
      </w:r>
      <w:r>
        <w:rPr>
          <w:rFonts w:ascii="Times New Roman" w:hAnsi="Times New Roman"/>
          <w:spacing w:val="2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Выполнение мероприятий государственной программы</w:t>
      </w:r>
      <w:r>
        <w:rPr>
          <w:rFonts w:ascii="Times New Roman" w:hAnsi="Times New Roman"/>
          <w:spacing w:val="2"/>
          <w:sz w:val="28"/>
          <w:szCs w:val="28"/>
        </w:rPr>
        <w:t>», процент, рассчитывается по следующей формуле: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м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N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исп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N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план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х</m:t>
          </m:r>
          <m:r>
            <w:rPr>
              <w:rFonts w:ascii="Cambria Math" w:hAnsi="Cambria Math"/>
            </w:rPr>
            <m:t xml:space="preserve">100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</m:oMath>
      </m:oMathPara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В</w:t>
      </w:r>
      <w:r>
        <w:rPr>
          <w:rFonts w:eastAsia="Times New Roman" w:ascii="Times New Roman" w:hAnsi="Times New Roman"/>
          <w:sz w:val="28"/>
          <w:szCs w:val="28"/>
          <w:vertAlign w:val="subscript"/>
        </w:rPr>
        <w:t>м</w:t>
      </w:r>
      <w:r>
        <w:rPr>
          <w:rFonts w:eastAsia="Times New Roman" w:ascii="Times New Roman" w:hAnsi="Times New Roman"/>
          <w:sz w:val="28"/>
          <w:szCs w:val="28"/>
        </w:rPr>
        <w:t xml:space="preserve"> –выполнение мероприятий государственной программы, процент;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bookmarkStart w:id="1" w:name="_Hlk90387854"/>
      <w:r>
        <w:rPr>
          <w:rFonts w:eastAsia="Times New Roman" w:ascii="Times New Roman" w:hAnsi="Times New Roman"/>
          <w:sz w:val="28"/>
          <w:szCs w:val="28"/>
          <w:lang w:val="en-US"/>
        </w:rPr>
        <w:t>N</w:t>
      </w:r>
      <w:bookmarkEnd w:id="1"/>
      <w:r>
        <w:rPr>
          <w:rFonts w:eastAsia="Times New Roman" w:ascii="Times New Roman" w:hAnsi="Times New Roman"/>
          <w:sz w:val="28"/>
          <w:szCs w:val="28"/>
          <w:vertAlign w:val="subscript"/>
        </w:rPr>
        <w:t>исп</w:t>
      </w:r>
      <w:r>
        <w:rPr>
          <w:rFonts w:eastAsia="Times New Roman" w:ascii="Times New Roman" w:hAnsi="Times New Roman"/>
          <w:sz w:val="28"/>
          <w:szCs w:val="28"/>
        </w:rPr>
        <w:t xml:space="preserve"> – количество показателей (индикаторов) государственной программы и основных мероприятий (проектов), выполненных в полном объеме за отчетный период, единиц;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val="en-US"/>
        </w:rPr>
        <w:t>N</w:t>
      </w:r>
      <w:r>
        <w:rPr>
          <w:rFonts w:eastAsia="Times New Roman" w:ascii="Times New Roman" w:hAnsi="Times New Roman"/>
          <w:sz w:val="28"/>
          <w:szCs w:val="28"/>
          <w:vertAlign w:val="subscript"/>
        </w:rPr>
        <w:t>план</w:t>
      </w:r>
      <w:r>
        <w:rPr>
          <w:rFonts w:eastAsia="Times New Roman" w:ascii="Times New Roman" w:hAnsi="Times New Roman"/>
          <w:sz w:val="28"/>
          <w:szCs w:val="28"/>
        </w:rPr>
        <w:t xml:space="preserve"> – общее количество показателей (индикаторов) государственной программы и основных мероприятий (проектов), предусмотренных к выполнению в отчетном периоде, единиц.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4. </w:t>
      </w:r>
      <w:r>
        <w:rPr>
          <w:rFonts w:ascii="Times New Roman" w:hAnsi="Times New Roman"/>
          <w:color w:val="000000"/>
          <w:sz w:val="28"/>
          <w:szCs w:val="28"/>
        </w:rPr>
        <w:t>Развитие системы управления в сфере надзора за техническим состоянием самоходных машин и других видов техники, аттракционов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4.1. </w:t>
      </w:r>
      <w:r>
        <w:rPr>
          <w:rFonts w:ascii="Times New Roman" w:hAnsi="Times New Roman"/>
          <w:sz w:val="28"/>
          <w:szCs w:val="28"/>
        </w:rPr>
        <w:t>Значение индикатора</w:t>
      </w:r>
      <w:r>
        <w:rPr>
          <w:rFonts w:ascii="Times New Roman" w:hAnsi="Times New Roman"/>
          <w:spacing w:val="2"/>
          <w:sz w:val="28"/>
          <w:szCs w:val="28"/>
        </w:rPr>
        <w:t xml:space="preserve"> «Доля исполненных в отчетном периоде предписаний об устранении нарушений от общего количества предписаний, которые должны быть исполнены в отчетном периоде», процент, определяется следующим образом: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R</m:t>
              </m:r>
            </m:e>
            <m:sub>
              <m:r>
                <w:rPr>
                  <w:rFonts w:ascii="Cambria Math" w:hAnsi="Cambria Math"/>
                </w:rPr>
                <m:t xml:space="preserve">пред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Q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испл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Q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об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х</m:t>
          </m:r>
          <m:r>
            <w:rPr>
              <w:rFonts w:ascii="Cambria Math" w:hAnsi="Cambria Math"/>
            </w:rPr>
            <m:t xml:space="preserve">100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</m:oMath>
      </m:oMathPara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Rпред - доля исполненных в отчетном периоде предписаний об устранении нарушений от общего количества предписаний, которые должны быть исполнены в отчетном периоде, процент;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Qиспл - количество устраненных нарушений в отчетном периоде по вынесенным предписаниям, штук;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Qоб - общее количество вынесенных предписаний об устранении в отчетном периоде нарушений состояния поднадзорной техники, штук.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4.2. </w:t>
      </w:r>
      <w:r>
        <w:rPr>
          <w:rFonts w:ascii="Times New Roman" w:hAnsi="Times New Roman"/>
          <w:sz w:val="28"/>
          <w:szCs w:val="28"/>
        </w:rPr>
        <w:t>Значение индикатора</w:t>
      </w:r>
      <w:r>
        <w:rPr>
          <w:rFonts w:ascii="Times New Roman" w:hAnsi="Times New Roman"/>
          <w:spacing w:val="2"/>
          <w:sz w:val="28"/>
          <w:szCs w:val="28"/>
        </w:rPr>
        <w:t xml:space="preserve"> «Доля поднадзорной техники, предоставленной на техосмотр, от общего количества поднадзорной техники, состоящей на учете», процент, определяется следующим образом: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R</m:t>
              </m:r>
            </m:e>
            <m:sub>
              <m:r>
                <w:rPr>
                  <w:rFonts w:ascii="Cambria Math" w:hAnsi="Cambria Math"/>
                </w:rPr>
                <m:t xml:space="preserve">то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Q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то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Q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рег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х</m:t>
          </m:r>
          <m:r>
            <w:rPr>
              <w:rFonts w:ascii="Cambria Math" w:hAnsi="Cambria Math"/>
            </w:rPr>
            <m:t xml:space="preserve">100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</m:oMath>
      </m:oMathPara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Rто - доля поднадзорной техники, представленной на техосмотр, от общего количества поднадзорной техники, состоящей на учете, процент;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Qрег - количество машин, состоящих на регистрационном учете, единиц;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Qто - количество техники, представленной на технический осмотр, единиц.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4.3. </w:t>
      </w:r>
      <w:r>
        <w:rPr>
          <w:rFonts w:ascii="Times New Roman" w:hAnsi="Times New Roman"/>
          <w:sz w:val="28"/>
          <w:szCs w:val="28"/>
        </w:rPr>
        <w:t>Значение индикатора</w:t>
      </w:r>
      <w:r>
        <w:rPr>
          <w:rFonts w:ascii="Times New Roman" w:hAnsi="Times New Roman"/>
          <w:spacing w:val="2"/>
          <w:sz w:val="28"/>
          <w:szCs w:val="28"/>
        </w:rPr>
        <w:t xml:space="preserve"> «Доля поднадзорной техники, проверенной в процессе эксплуатации», процент, определяется следующим образом: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R</m:t>
              </m:r>
            </m:e>
            <m:sub>
              <m:r>
                <w:rPr>
                  <w:rFonts w:ascii="Cambria Math" w:hAnsi="Cambria Math"/>
                </w:rPr>
                <m:t xml:space="preserve">пэ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Q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провер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Q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рег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х</m:t>
          </m:r>
          <m:r>
            <w:rPr>
              <w:rFonts w:ascii="Cambria Math" w:hAnsi="Cambria Math"/>
            </w:rPr>
            <m:t xml:space="preserve">100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</m:oMath>
      </m:oMathPara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Rпэ - доля поднадзорной техники, проверенной в процессе эксплуатации, процент;</w:t>
      </w:r>
    </w:p>
    <w:p>
      <w:pPr>
        <w:pStyle w:val="Normal"/>
        <w:spacing w:lineRule="atLeast" w:line="315"/>
        <w:ind w:firstLine="709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Qпровер - количество машин, проверенных в процессе эксплуатации, единиц;</w:t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Qрег - количество машин, состоящих на регистрационном учете, единиц.</w:t>
        <w:br/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4.4. </w:t>
      </w:r>
      <w:r>
        <w:rPr>
          <w:rFonts w:ascii="Times New Roman" w:hAnsi="Times New Roman"/>
          <w:sz w:val="28"/>
          <w:szCs w:val="28"/>
        </w:rPr>
        <w:t>Значение индикатора</w:t>
      </w:r>
      <w:r>
        <w:rPr>
          <w:rFonts w:ascii="Times New Roman" w:hAnsi="Times New Roman"/>
          <w:spacing w:val="2"/>
          <w:sz w:val="28"/>
          <w:szCs w:val="28"/>
        </w:rPr>
        <w:t xml:space="preserve"> «Доля поднадзорных машин, у которых в результате проверок выявлены неисправности, нарушающие требования дорожного движения, техники безопасности и охраны окружающей среды», процент, определяется следующим образом: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R</m:t>
              </m:r>
            </m:e>
            <m:sub>
              <m:r>
                <w:rPr>
                  <w:rFonts w:ascii="Cambria Math" w:hAnsi="Cambria Math"/>
                </w:rPr>
                <m:t xml:space="preserve">нар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Q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нар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Q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провер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х</m:t>
          </m:r>
          <m:r>
            <w:rPr>
              <w:rFonts w:ascii="Cambria Math" w:hAnsi="Cambria Math"/>
            </w:rPr>
            <m:t xml:space="preserve">100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</m:oMath>
      </m:oMathPara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Rнар - доля поднадзорных машин, у которых в результате проверок выявлены неисправности, нарушающие требования дорожного движения, техники безопасности и охраны окружающей среды, процент;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Qнар - количество машин, проверенных в процессе эксплуатации, у которых были выявлены неисправности, нарушающие требования дорожного движения, техники безопасности и охраны окружающей среды, единиц;</w:t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Qпровер - количество машин, проверенных в процессе эксплуатации, единиц.</w:t>
        <w:br/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5. </w:t>
      </w:r>
      <w:r>
        <w:rPr>
          <w:rFonts w:ascii="Times New Roman" w:hAnsi="Times New Roman"/>
          <w:color w:val="000000"/>
          <w:sz w:val="28"/>
          <w:szCs w:val="28"/>
        </w:rPr>
        <w:t>Обеспечение устойчивой и сбалансированной работы в сфере региональной транспортной политики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5.1. </w:t>
      </w:r>
      <w:r>
        <w:rPr>
          <w:rFonts w:ascii="Times New Roman" w:hAnsi="Times New Roman"/>
          <w:sz w:val="28"/>
          <w:szCs w:val="28"/>
        </w:rPr>
        <w:t>Значение индикатора</w:t>
      </w:r>
      <w:r>
        <w:rPr>
          <w:rFonts w:ascii="Times New Roman" w:hAnsi="Times New Roman"/>
          <w:spacing w:val="2"/>
          <w:sz w:val="28"/>
          <w:szCs w:val="28"/>
        </w:rPr>
        <w:t xml:space="preserve"> «Доля автотранспортных предприятий, осуществляющих пассажирские перевозки в пригородном сообщении, оснащённых бортовой навигационной системой «ГЛОНАСС», процент, определяется по формуле: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Д</m:t>
              </m:r>
            </m:e>
            <m:sub>
              <m:r>
                <w:rPr>
                  <w:rFonts w:ascii="Cambria Math" w:hAnsi="Cambria Math"/>
                </w:rPr>
                <m:t xml:space="preserve">к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К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исп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 xml:space="preserve">К</m:t>
              </m:r>
            </m:den>
          </m:f>
          <m:r>
            <w:rPr>
              <w:rFonts w:ascii="Cambria Math" w:hAnsi="Cambria Math"/>
            </w:rPr>
            <m:t xml:space="preserve">х</m:t>
          </m:r>
          <m:r>
            <w:rPr>
              <w:rFonts w:ascii="Cambria Math" w:hAnsi="Cambria Math"/>
            </w:rPr>
            <m:t xml:space="preserve">100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</m:oMath>
      </m:oMathPara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  <w:vertAlign w:val="subscript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– доля автотранспортных предприятий, осуществляющих пассажирские перевозки в пригородном сообщении, оснащённых бортовой навигационной системой «ГЛОНАСС», процент;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  <w:vertAlign w:val="subscript"/>
        </w:rPr>
        <w:t>исп</w:t>
      </w:r>
      <w:r>
        <w:rPr>
          <w:rFonts w:ascii="Times New Roman" w:hAnsi="Times New Roman"/>
          <w:spacing w:val="2"/>
          <w:sz w:val="28"/>
          <w:szCs w:val="28"/>
        </w:rPr>
        <w:t xml:space="preserve"> – количество автотранспортных предприятий региона, осуществляющих пассажирские перевозки в пригородном сообщении, оснащённых бортовой навигационной системой «ГЛОНАСС», единиц;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К – общее количество автотранспортных предприятий региона, единиц.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5.2. Значение индикатора «</w:t>
      </w:r>
      <w:r>
        <w:rPr>
          <w:rFonts w:ascii="Times New Roman" w:hAnsi="Times New Roman"/>
          <w:color w:val="000000"/>
          <w:sz w:val="28"/>
          <w:szCs w:val="28"/>
        </w:rPr>
        <w:t>Количество (строительство, реконструкция АЗС, АГЗС путем дооборудования модулем заправки компримированного природного газа (КПГ), АГНКС</w:t>
      </w:r>
      <w:bookmarkStart w:id="2" w:name="_GoBack"/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bookmarkStart w:id="3" w:name="_Hlk117262272"/>
      <w:r>
        <w:rPr>
          <w:rFonts w:ascii="Times New Roman" w:hAnsi="Times New Roman"/>
          <w:color w:val="000000"/>
          <w:sz w:val="28"/>
          <w:szCs w:val="28"/>
        </w:rPr>
        <w:t xml:space="preserve">определяется на </w:t>
      </w: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основании фактически достигнутых данных</w:t>
      </w:r>
      <w:bookmarkEnd w:id="3"/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 xml:space="preserve"> согласно актов ввода в эксплуатацию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5.3. Значение индикатора «Количество внедренных интеллектуальных транспортных систем на территории Брянской области» определяется на основании фактически достигнутых данных.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5.4. Значение индикатора «Количество объектов транспортной инфраструктуры автомобильного транспорта, приведенных в нормативное состояние и оборудованных системами обеспечения безопасности» </w:t>
      </w:r>
      <w:r>
        <w:rPr>
          <w:rFonts w:ascii="Times New Roman" w:hAnsi="Times New Roman"/>
          <w:spacing w:val="2"/>
          <w:sz w:val="28"/>
          <w:szCs w:val="28"/>
        </w:rPr>
        <w:t>определяется по результатам выполнения мероприятий муниципальным образованием в отчетном году.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5.5. Значение индикатора «Количество переведенной автотранспортной техники на компримированный природный газ (КПГ) и(или) сжиженный природный газ (СПГ)» определяется на основании фактических данных, предоставленных от пунктов по переоборудованию транспортных средств.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5.6. </w:t>
      </w:r>
      <w:r>
        <w:rPr>
          <w:rFonts w:ascii="Times New Roman" w:hAnsi="Times New Roman"/>
          <w:sz w:val="28"/>
          <w:szCs w:val="28"/>
        </w:rPr>
        <w:t>Значение индикатора</w:t>
      </w:r>
      <w:r>
        <w:rPr>
          <w:rFonts w:ascii="Times New Roman" w:hAnsi="Times New Roman"/>
          <w:spacing w:val="2"/>
          <w:sz w:val="28"/>
          <w:szCs w:val="28"/>
        </w:rPr>
        <w:t xml:space="preserve"> «Коэффициент доступности  транспортных средств для маломобильных групп населения» определяется отношением количества транспортных средств, оснащенных вспомогательными средствами для перемещения человека, сидящего в кресле-коляске, при посадке в транспортное средство или высадке из него к общему количеству транспортных средств, предназначенных для перевозок пассажиров и багажа городским наземным электрическим транспортом по маршрутам регулярных перевозок, рассчитывается по формуле: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K</m:t>
        </m:r>
        <m:r>
          <w:rPr>
            <w:rFonts w:ascii="Cambria Math" w:hAnsi="Cambria Math"/>
          </w:rPr>
          <m:t xml:space="preserve">т</m:t>
        </m:r>
        <m:r>
          <w:rPr>
            <w:rFonts w:ascii="Cambria Math" w:hAnsi="Cambria Math"/>
          </w:rPr>
          <m:t xml:space="preserve">с</m:t>
        </m:r>
        <m:r>
          <w:rPr>
            <w:rFonts w:ascii="Cambria Math" w:hAnsi="Cambria Math"/>
          </w:rPr>
          <m:t xml:space="preserve">.</m:t>
        </m:r>
        <m:r>
          <w:rPr>
            <w:rFonts w:ascii="Cambria Math" w:hAnsi="Cambria Math"/>
          </w:rPr>
          <m:t xml:space="preserve">мгн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Q</m:t>
            </m:r>
            <m:r>
              <w:rPr>
                <w:rFonts w:ascii="Cambria Math" w:hAnsi="Cambria Math"/>
              </w:rPr>
              <m:t xml:space="preserve">тс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мгн</m:t>
            </m:r>
          </m:num>
          <m:den>
            <m:r>
              <w:rPr>
                <w:rFonts w:ascii="Cambria Math" w:hAnsi="Cambria Math"/>
              </w:rPr>
              <m:t xml:space="preserve">Q</m:t>
            </m:r>
            <m:r>
              <w:rPr>
                <w:rFonts w:ascii="Cambria Math" w:hAnsi="Cambria Math"/>
              </w:rPr>
              <m:t xml:space="preserve">тс</m:t>
            </m:r>
          </m:den>
        </m:f>
        <m:r>
          <w:rPr>
            <w:rFonts w:ascii="Cambria Math" w:hAnsi="Cambria Math"/>
          </w:rPr>
          <m:t xml:space="preserve">х</m:t>
        </m:r>
        <m:r>
          <w:rPr>
            <w:rFonts w:ascii="Cambria Math" w:hAnsi="Cambria Math"/>
          </w:rPr>
          <m:t xml:space="preserve">100</m:t>
        </m:r>
      </m:oMath>
      <w:r>
        <w:rPr>
          <w:rFonts w:ascii="Times New Roman" w:hAnsi="Times New Roman"/>
          <w:bCs/>
          <w:iCs/>
          <w:sz w:val="28"/>
          <w:szCs w:val="28"/>
        </w:rPr>
        <w:t>, где</w:t>
      </w:r>
    </w:p>
    <w:p>
      <w:pPr>
        <w:pStyle w:val="Normal"/>
        <w:shd w:val="clear" w:color="auto" w:fill="FFFFFF"/>
        <w:spacing w:before="0" w:after="0"/>
        <w:ind w:firstLine="480"/>
        <w:jc w:val="both"/>
        <w:textAlignment w:val="baseline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/>
          <w:spacing w:val="2"/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K</m:t>
        </m:r>
        <m:r>
          <w:rPr>
            <w:rFonts w:ascii="Cambria Math" w:hAnsi="Cambria Math"/>
          </w:rPr>
          <m:t xml:space="preserve">т</m:t>
        </m:r>
        <m:r>
          <w:rPr>
            <w:rFonts w:ascii="Cambria Math" w:hAnsi="Cambria Math"/>
          </w:rPr>
          <m:t xml:space="preserve">с</m:t>
        </m:r>
        <m:r>
          <w:rPr>
            <w:rFonts w:ascii="Cambria Math" w:hAnsi="Cambria Math"/>
          </w:rPr>
          <m:t xml:space="preserve">.</m:t>
        </m:r>
        <m:r>
          <w:rPr>
            <w:rFonts w:ascii="Cambria Math" w:hAnsi="Cambria Math"/>
          </w:rPr>
          <m:t xml:space="preserve">мгн</m:t>
        </m:r>
      </m:oMath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eastAsia="Times New Roman" w:ascii="Times New Roman" w:hAnsi="Times New Roman"/>
          <w:spacing w:val="2"/>
          <w:sz w:val="28"/>
          <w:szCs w:val="28"/>
        </w:rPr>
        <w:t>Коэффициент доступности транспортных средств для маломобильных групп населения, процент;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/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Q</m:t>
        </m:r>
        <m:r>
          <w:rPr>
            <w:rFonts w:ascii="Cambria Math" w:hAnsi="Cambria Math"/>
          </w:rPr>
          <m:t xml:space="preserve">тс</m:t>
        </m:r>
        <m:r>
          <w:rPr>
            <w:rFonts w:ascii="Cambria Math" w:hAnsi="Cambria Math"/>
          </w:rPr>
          <m:t xml:space="preserve">.</m:t>
        </m:r>
        <m:r>
          <w:rPr>
            <w:rFonts w:ascii="Cambria Math" w:hAnsi="Cambria Math"/>
          </w:rPr>
          <m:t xml:space="preserve">мгн</m:t>
        </m:r>
      </m:oMath>
      <w:r>
        <w:rPr>
          <w:rFonts w:eastAsia="Times New Roman" w:ascii="Times New Roman" w:hAnsi="Times New Roman"/>
          <w:b/>
          <w:sz w:val="28"/>
          <w:szCs w:val="28"/>
        </w:rPr>
        <w:t xml:space="preserve">- </w:t>
      </w:r>
      <w:r>
        <w:rPr>
          <w:rFonts w:eastAsia="Times New Roman" w:ascii="Times New Roman" w:hAnsi="Times New Roman"/>
          <w:sz w:val="28"/>
          <w:szCs w:val="28"/>
        </w:rPr>
        <w:t>количество транспортных средств, оснащенных вспомогательными средствами для перемещения человека, сидящего в кресле-коляске, при посадке в транспортное средство или высадке из него, единиц;</w:t>
      </w:r>
    </w:p>
    <w:p>
      <w:pPr>
        <w:pStyle w:val="Normal"/>
        <w:shd w:val="clear" w:color="auto" w:fill="FFFFFF"/>
        <w:spacing w:before="0" w:after="0"/>
        <w:ind w:firstLine="480"/>
        <w:jc w:val="both"/>
        <w:textAlignment w:val="baseline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Q</m:t>
        </m:r>
        <m:r>
          <w:rPr>
            <w:rFonts w:ascii="Cambria Math" w:hAnsi="Cambria Math"/>
          </w:rPr>
          <m:t xml:space="preserve">тс</m:t>
        </m:r>
      </m:oMath>
      <w:r>
        <w:rPr>
          <w:rFonts w:eastAsia="Times New Roman" w:ascii="Times New Roman" w:hAnsi="Times New Roman"/>
          <w:bCs/>
          <w:iCs/>
          <w:sz w:val="28"/>
          <w:szCs w:val="28"/>
        </w:rPr>
        <w:t>-</w:t>
      </w:r>
      <w:r>
        <w:rPr>
          <w:rFonts w:eastAsia="Times New Roman" w:ascii="Times New Roman" w:hAnsi="Times New Roman"/>
          <w:sz w:val="28"/>
          <w:szCs w:val="28"/>
        </w:rPr>
        <w:t xml:space="preserve"> общее количество транспортных средств, предназначенных для перевозок пассажиров и багажа городским наземным электрическим транспортом по маршрутам регулярных перевозок, единиц.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before="0" w:after="255"/>
        <w:ind w:firstLine="709"/>
        <w:jc w:val="both"/>
        <w:rPr>
          <w:rFonts w:ascii="Times New Roman" w:hAnsi="Times New Roman" w:eastAsia="Times New Roman"/>
          <w:color w:val="000000"/>
          <w:spacing w:val="2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 xml:space="preserve">5.7. </w:t>
      </w:r>
      <w:r>
        <w:rPr>
          <w:rFonts w:eastAsia="Times New Roman" w:ascii="Times New Roman" w:hAnsi="Times New Roman"/>
          <w:color w:val="000000"/>
          <w:sz w:val="28"/>
          <w:szCs w:val="28"/>
        </w:rPr>
        <w:t>Значение индикатора</w:t>
      </w:r>
      <w:r>
        <w:rPr>
          <w:rFonts w:eastAsia="Times New Roman" w:ascii="Times New Roman" w:hAnsi="Times New Roman"/>
          <w:sz w:val="28"/>
          <w:szCs w:val="28"/>
        </w:rPr>
        <w:t xml:space="preserve"> «Коэффициент технической готовности подвижного состава» </w:t>
      </w:r>
      <w:r>
        <w:rPr>
          <w:rFonts w:eastAsia="Times New Roman" w:ascii="Times New Roman" w:hAnsi="Times New Roman"/>
          <w:color w:val="000000"/>
          <w:sz w:val="28"/>
          <w:szCs w:val="28"/>
        </w:rPr>
        <w:t>определяется отношением количества машино-дней нахождения троллейбусов в технически исправном состоянии к общему количеству машино-дней пребывания троллейбусов в инвентаре предприятия за рассматриваемый период</w:t>
      </w:r>
      <w:r>
        <w:rPr>
          <w:rFonts w:eastAsia="Times New Roman" w:ascii="Times New Roman" w:hAnsi="Times New Roman"/>
          <w:sz w:val="28"/>
          <w:szCs w:val="28"/>
        </w:rPr>
        <w:t xml:space="preserve">, </w:t>
      </w:r>
      <w:r>
        <w:rPr>
          <w:rFonts w:eastAsia="Times New Roman" w:ascii="Times New Roman" w:hAnsi="Times New Roman"/>
          <w:color w:val="000000"/>
          <w:spacing w:val="2"/>
          <w:sz w:val="28"/>
          <w:szCs w:val="28"/>
        </w:rPr>
        <w:t>рассчитывается по формуле:</w:t>
      </w:r>
    </w:p>
    <w:p>
      <w:pPr>
        <w:pStyle w:val="Normal"/>
        <w:ind w:left="114" w:hanging="0"/>
        <w:jc w:val="center"/>
        <w:rPr>
          <w:iCs/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КТГ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Rм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д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х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R</m:t>
            </m:r>
            <m:r>
              <w:rPr>
                <w:rFonts w:ascii="Cambria Math" w:hAnsi="Cambria Math"/>
              </w:rPr>
              <m:t xml:space="preserve">п</m:t>
            </m:r>
            <m:r>
              <w:rPr>
                <w:rFonts w:ascii="Cambria Math" w:hAnsi="Cambria Math"/>
              </w:rPr>
              <m:t xml:space="preserve">.</m:t>
            </m:r>
          </m:num>
          <m:den>
            <m:r>
              <w:rPr>
                <w:rFonts w:ascii="Cambria Math" w:hAnsi="Cambria Math"/>
              </w:rPr>
              <m:t xml:space="preserve">Rм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д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х</m:t>
            </m:r>
          </m:den>
        </m:f>
        <m:r>
          <w:rPr>
            <w:rFonts w:ascii="Cambria Math" w:hAnsi="Cambria Math"/>
          </w:rPr>
          <m:t xml:space="preserve">х</m:t>
        </m:r>
        <m:r>
          <w:rPr>
            <w:rFonts w:ascii="Cambria Math" w:hAnsi="Cambria Math"/>
          </w:rPr>
          <m:t xml:space="preserve">100</m:t>
        </m:r>
      </m:oMath>
      <w:r>
        <w:rPr>
          <w:rFonts w:ascii="Times New Roman" w:hAnsi="Times New Roman"/>
          <w:bCs/>
          <w:iCs/>
          <w:sz w:val="28"/>
          <w:szCs w:val="28"/>
        </w:rPr>
        <w:t>, где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КТГ – коэффициент технической готовности;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Rм.д.х  – машино-дни в хозяйстве, дни;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R п. – общий простой неисправных троллейбусов, дни.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5.8. Значение индикатора «Обеспечение стабильности перевозок пассажиров железнодорожным транспортом» определяется на основании отчетности предприятий, осуществляющих пассажирские перевозки железнодорожным транспортом.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5.9. Значение индикатора «Численность перевезенных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сообщении» определяется на основании отчетности предприятий, осуществляющих пассажирские перевозки железнодорожным транспортом.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6. </w:t>
      </w:r>
      <w:r>
        <w:rPr>
          <w:rFonts w:ascii="Times New Roman" w:hAnsi="Times New Roman"/>
          <w:color w:val="000000"/>
          <w:sz w:val="28"/>
          <w:szCs w:val="28"/>
        </w:rPr>
        <w:t>Обеспечение устойчивой работы и развития международного аэропорта «Брянск»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6.1. Значение индикатора «Количество реконструированных взлетно-посадочных полос» определяется по результатам выполнения мероприятий в отчетном году.</w:t>
      </w:r>
      <w:bookmarkStart w:id="4" w:name="_Hlk117505110"/>
      <w:bookmarkEnd w:id="4"/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6.2. Значение индикатора «Обеспечение деятельности и поддержание нормативного состояния имущественного комплекса АО «Международный аэропорт «Брянск», да/нет, подтверждается фактическими данными мониторинга департамента промышленности, транспорта и связи Брянской области.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6.3. Значение индикатора «Пассажиропоток» определяются на основании отчетности авиапредприятий, осуществляющих пассажирские авиационные перевозки.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7. </w:t>
      </w:r>
      <w:r>
        <w:rPr>
          <w:rFonts w:ascii="Times New Roman" w:hAnsi="Times New Roman"/>
          <w:color w:val="000000"/>
          <w:sz w:val="28"/>
          <w:szCs w:val="28"/>
        </w:rPr>
        <w:t>Реализация региональных программ развития промышленности на территории Брянской области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7.1. Значение индикатора «Количество субъектов деятельности в сфере промышленности, получивших финансовую поддержку» определяется на основании отчета регионального фонда развития промышленности.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7.2. Значение индикатора «Предоставление займа для развития промышленных предприятий» подтверждается фактическими данными постоянного мониторинга департамента промышленности, транспорта и связи Брянской области - ответственного исполнителя государственной программы «Развития промышленности, транспорта и связи Брянской области»  (источник данных — сведения департамента экономического развития Брянской области).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8. </w:t>
      </w:r>
      <w:r>
        <w:rPr>
          <w:rFonts w:ascii="Times New Roman" w:hAnsi="Times New Roman"/>
          <w:color w:val="000000"/>
          <w:sz w:val="28"/>
          <w:szCs w:val="28"/>
        </w:rPr>
        <w:t>Обеспечение общей конкурентоспособности и обеспечение устойчивого развития регионального промышленного комплекса на основе повышения эффективности использования инновационного и производственного потенциала, создания новых и высокооплачиваемых рабочих мест, повышения инвестиционной привлекательности в соответствии с федеральной и региональной промышленной политикой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8.1. </w:t>
      </w:r>
      <w:r>
        <w:rPr>
          <w:rFonts w:ascii="Times New Roman" w:hAnsi="Times New Roman"/>
          <w:sz w:val="28"/>
          <w:szCs w:val="28"/>
        </w:rPr>
        <w:t>Значение индикатора</w:t>
      </w:r>
      <w:r>
        <w:rPr>
          <w:rFonts w:ascii="Times New Roman" w:hAnsi="Times New Roman"/>
          <w:spacing w:val="2"/>
          <w:sz w:val="28"/>
          <w:szCs w:val="28"/>
        </w:rPr>
        <w:t xml:space="preserve"> «Динамика роста объемов отгруженной продукции собственного производства по обрабатывающим производствам в действующих ценах» определяется на основе данных государственного статистического наблюдения территориального органа Федеральной службы государственной статистики по Брянской области.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8.2. </w:t>
      </w:r>
      <w:r>
        <w:rPr>
          <w:rFonts w:ascii="Times New Roman" w:hAnsi="Times New Roman"/>
          <w:sz w:val="28"/>
          <w:szCs w:val="28"/>
        </w:rPr>
        <w:t>Значение индикатора</w:t>
      </w:r>
      <w:r>
        <w:rPr>
          <w:rFonts w:ascii="Times New Roman" w:hAnsi="Times New Roman"/>
          <w:spacing w:val="2"/>
          <w:sz w:val="28"/>
          <w:szCs w:val="28"/>
        </w:rPr>
        <w:t xml:space="preserve"> «Количество проведенных промышленных выставок» определяется на основе данных департамента промышленности, транспорта и связи Брянской области.</w:t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8.3. </w:t>
      </w:r>
      <w:r>
        <w:rPr>
          <w:rFonts w:ascii="Times New Roman" w:hAnsi="Times New Roman"/>
          <w:sz w:val="28"/>
          <w:szCs w:val="28"/>
        </w:rPr>
        <w:t>Значение индикатора</w:t>
      </w:r>
      <w:r>
        <w:rPr>
          <w:rFonts w:ascii="Times New Roman" w:hAnsi="Times New Roman"/>
          <w:spacing w:val="2"/>
          <w:sz w:val="28"/>
          <w:szCs w:val="28"/>
        </w:rPr>
        <w:t xml:space="preserve"> «</w:t>
      </w:r>
      <w:r>
        <w:rPr>
          <w:rFonts w:eastAsia="Times New Roman" w:ascii="Times New Roman" w:hAnsi="Times New Roman"/>
          <w:spacing w:val="2"/>
          <w:sz w:val="28"/>
          <w:szCs w:val="28"/>
        </w:rPr>
        <w:t>Количество созданных новых рабочих мест на промышленных предприятиях (накопленным итогом)</w:t>
      </w:r>
      <w:r>
        <w:rPr>
          <w:rFonts w:ascii="Times New Roman" w:hAnsi="Times New Roman"/>
          <w:spacing w:val="2"/>
          <w:sz w:val="28"/>
          <w:szCs w:val="28"/>
        </w:rPr>
        <w:t xml:space="preserve">» определяется на основании отчетности промышленных предприятий с нарастающим итогом.  </w:t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/>
          <w:spacing w:val="2"/>
          <w:sz w:val="16"/>
          <w:szCs w:val="16"/>
        </w:rPr>
      </w:pPr>
      <w:r>
        <w:rPr>
          <w:rFonts w:ascii="Times New Roman" w:hAnsi="Times New Roman"/>
          <w:spacing w:val="2"/>
          <w:sz w:val="16"/>
          <w:szCs w:val="16"/>
        </w:rPr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8.4. </w:t>
      </w:r>
      <w:r>
        <w:rPr>
          <w:rFonts w:ascii="Times New Roman" w:hAnsi="Times New Roman"/>
          <w:sz w:val="28"/>
          <w:szCs w:val="28"/>
        </w:rPr>
        <w:t>Значение индикатора</w:t>
      </w:r>
      <w:r>
        <w:rPr>
          <w:rFonts w:ascii="Times New Roman" w:hAnsi="Times New Roman"/>
          <w:spacing w:val="2"/>
          <w:sz w:val="28"/>
          <w:szCs w:val="28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</w:rPr>
        <w:t>Объем инвестиций в основной капитал (накопленным итогом) («Обрабатывающие производства»)</w:t>
      </w:r>
      <w:r>
        <w:rPr>
          <w:rFonts w:ascii="Times New Roman" w:hAnsi="Times New Roman"/>
          <w:spacing w:val="2"/>
          <w:sz w:val="28"/>
          <w:szCs w:val="28"/>
        </w:rPr>
        <w:t>» определяется на основе данных государственного статистического наблюдения территориального органа Федеральной службы государственной статистики по Брянской области с нарастающим итогом.</w:t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«</w:t>
      </w:r>
      <w:r>
        <w:rPr>
          <w:rFonts w:ascii="Times New Roman" w:hAnsi="Times New Roman"/>
          <w:color w:val="000000"/>
          <w:sz w:val="28"/>
          <w:szCs w:val="28"/>
        </w:rPr>
        <w:t>В том числе: объем инвестиций в основной капитал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(постановление Правительства РФ от 15.04.2014 г. №328 в ред. постановления Правительства РФ от 02.06.2022г. №1012)» определяется на основании данных предприятий, реализующих инвестиционные проекты.</w:t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</w:r>
    </w:p>
    <w:p>
      <w:pPr>
        <w:pStyle w:val="Normal"/>
        <w:spacing w:lineRule="auto" w:line="240" w:before="0" w:after="0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8.5. Значение индикатора «Увеличение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(строка 07 графы 4 формы федерального статистического наблюдения № 11 «Сведения о наличии и движении основных фондов (средств) и других нефинансовых активов») (постановление Правительства РФ от 15.04.2014 г. №328 в ред. постановления Правительства РФ от 02.06.2022г. №1012)» определяется на основании данных предприятий, реализующих инвестиционные проекты.</w:t>
      </w:r>
    </w:p>
    <w:p>
      <w:pPr>
        <w:pStyle w:val="Normal"/>
        <w:spacing w:lineRule="atLeast" w:line="315" w:before="0" w:after="200"/>
        <w:ind w:firstLine="709"/>
        <w:jc w:val="both"/>
        <w:textAlignment w:val="baseline"/>
        <w:rPr>
          <w:rFonts w:ascii="Times New Roman" w:hAnsi="Times New Roman"/>
          <w:color w:val="0000FF"/>
          <w:spacing w:val="2"/>
          <w:sz w:val="28"/>
          <w:szCs w:val="28"/>
          <w:u w:val="single"/>
        </w:rPr>
      </w:pPr>
      <w:r>
        <w:rPr>
          <w:rFonts w:ascii="Times New Roman" w:hAnsi="Times New Roman"/>
          <w:spacing w:val="2"/>
          <w:sz w:val="28"/>
          <w:szCs w:val="28"/>
        </w:rPr>
        <w:t>Расчетные данные для показателей (индикаторов) государственной программы публикуются на официальном сайте департамента промышленности, транспорта и связи Брянской области (</w:t>
      </w:r>
      <w:hyperlink r:id="rId2">
        <w:r>
          <w:rPr>
            <w:rFonts w:ascii="Times New Roman" w:hAnsi="Times New Roman"/>
            <w:color w:val="0000FF"/>
            <w:spacing w:val="2"/>
            <w:sz w:val="28"/>
            <w:szCs w:val="28"/>
            <w:u w:val="single"/>
            <w:lang w:val="en-US"/>
          </w:rPr>
          <w:t>www</w:t>
        </w:r>
        <w:r>
          <w:rPr>
            <w:rFonts w:ascii="Times New Roman" w:hAnsi="Times New Roman"/>
            <w:color w:val="0000FF"/>
            <w:spacing w:val="2"/>
            <w:sz w:val="28"/>
            <w:szCs w:val="28"/>
            <w:u w:val="single"/>
          </w:rPr>
          <w:t>.dpts.bryanskprom.ru).</w:t>
        </w:r>
      </w:hyperlink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rsid w:val="008415b8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8415b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8415b8"/>
    <w:rPr>
      <w:color w:val="605E5C"/>
      <w:shd w:fill="E1DFDD" w:val="clear"/>
    </w:rPr>
  </w:style>
  <w:style w:type="character" w:styleId="Style15">
    <w:name w:val="Посещённая гиперссылка"/>
    <w:rPr>
      <w:color w:val="80000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NormalWeb">
    <w:name w:val="Normal (Web)"/>
    <w:basedOn w:val="Normal"/>
    <w:uiPriority w:val="99"/>
    <w:semiHidden/>
    <w:unhideWhenUsed/>
    <w:qFormat/>
    <w:rsid w:val="008415b8"/>
    <w:pPr>
      <w:spacing w:lineRule="auto" w:line="240" w:beforeAutospacing="1" w:afterAutospacing="1"/>
    </w:pPr>
    <w:rPr>
      <w:rFonts w:ascii="Times New Roman" w:hAnsi="Times New Roman" w:eastAsia="Times New Roman"/>
      <w:color w:val="000000"/>
      <w:sz w:val="24"/>
      <w:szCs w:val="24"/>
    </w:rPr>
  </w:style>
  <w:style w:type="paragraph" w:styleId="ConsPlusNormal" w:customStyle="1">
    <w:name w:val="ConsPlusNormal"/>
    <w:uiPriority w:val="99"/>
    <w:qFormat/>
    <w:rsid w:val="008415b8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eastAsia="ru-RU" w:val="ru-RU" w:bidi="ar-SA"/>
    </w:rPr>
  </w:style>
  <w:style w:type="paragraph" w:styleId="Formattext" w:customStyle="1">
    <w:name w:val="formattext"/>
    <w:basedOn w:val="Normal"/>
    <w:uiPriority w:val="99"/>
    <w:qFormat/>
    <w:rsid w:val="008415b8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dpts.bryanskprom.ru).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Application>LibreOffice/7.0.1.2$Windows_X86_64 LibreOffice_project/7cbcfc562f6eb6708b5ff7d7397325de9e764452</Application>
  <Pages>7</Pages>
  <Words>1411</Words>
  <Characters>11646</Characters>
  <CharactersWithSpaces>13009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2022-09-28T05:47:00Z</dcterms:created>
  <dc:creator>DPTS-FIN</dc:creator>
  <dc:description/>
  <dc:language>ru-RU</dc:language>
  <cp:lastModifiedBy/>
  <cp:lastPrinted>2022-10-26T09:54:47Z</cp:lastPrinted>
  <dcterms:modified xsi:type="dcterms:W3CDTF">2022-10-26T09:55:22Z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